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B98E" w14:textId="4DC3E79E" w:rsidR="001D3E3D" w:rsidRDefault="001D3E3D" w:rsidP="001D3E3D">
      <w:pPr>
        <w:tabs>
          <w:tab w:val="left" w:pos="720"/>
          <w:tab w:val="left" w:pos="1440"/>
          <w:tab w:val="left" w:pos="2160"/>
          <w:tab w:val="left" w:pos="2880"/>
          <w:tab w:val="right" w:pos="9907"/>
        </w:tabs>
        <w:jc w:val="right"/>
        <w:rPr>
          <w:rFonts w:ascii="Avenir Next LT Pro" w:hAnsi="Avenir Next LT Pro" w:cs="Arial"/>
          <w:b/>
          <w:bCs/>
          <w:sz w:val="24"/>
          <w:szCs w:val="24"/>
        </w:rPr>
      </w:pPr>
      <w:r>
        <w:rPr>
          <w:rFonts w:ascii="Avenir Next LT Pro" w:hAnsi="Avenir Next LT Pro" w:cs="Arial"/>
          <w:b/>
          <w:bCs/>
          <w:sz w:val="24"/>
          <w:szCs w:val="24"/>
        </w:rPr>
        <w:t>Response 017</w:t>
      </w:r>
    </w:p>
    <w:p w14:paraId="676CF0D1" w14:textId="3F141EC1"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595F830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40327C1C"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7690CC6E" w14:textId="77777777" w:rsidTr="00083678">
        <w:tc>
          <w:tcPr>
            <w:tcW w:w="9016" w:type="dxa"/>
            <w:tcBorders>
              <w:top w:val="single" w:sz="4" w:space="0" w:color="auto"/>
              <w:left w:val="single" w:sz="4" w:space="0" w:color="auto"/>
              <w:bottom w:val="single" w:sz="4" w:space="0" w:color="auto"/>
              <w:right w:val="single" w:sz="4" w:space="0" w:color="auto"/>
            </w:tcBorders>
          </w:tcPr>
          <w:p w14:paraId="6BD00C78" w14:textId="77777777" w:rsidR="00083678" w:rsidRDefault="00083678">
            <w:pPr>
              <w:spacing w:after="255"/>
              <w:contextualSpacing/>
              <w:jc w:val="both"/>
              <w:rPr>
                <w:rFonts w:ascii="Avenir Next LT Pro" w:eastAsia="Times New Roman" w:hAnsi="Avenir Next LT Pro" w:cs="Arial"/>
                <w:b/>
                <w:bCs/>
                <w:sz w:val="24"/>
                <w:szCs w:val="24"/>
                <w:lang w:val="en-US"/>
              </w:rPr>
            </w:pPr>
          </w:p>
          <w:p w14:paraId="277B50AE" w14:textId="77777777" w:rsidR="00083678" w:rsidRPr="00265C62" w:rsidRDefault="00265C62">
            <w:pPr>
              <w:spacing w:after="255"/>
              <w:contextualSpacing/>
              <w:jc w:val="both"/>
              <w:rPr>
                <w:rFonts w:ascii="Avenir Next LT Pro" w:eastAsia="Times New Roman" w:hAnsi="Avenir Next LT Pro" w:cs="Arial"/>
                <w:bCs/>
                <w:sz w:val="24"/>
                <w:szCs w:val="24"/>
                <w:lang w:val="en-US"/>
              </w:rPr>
            </w:pPr>
            <w:r w:rsidRPr="00265C62">
              <w:rPr>
                <w:rFonts w:ascii="Avenir Next LT Pro" w:eastAsia="Times New Roman" w:hAnsi="Avenir Next LT Pro" w:cs="Arial"/>
                <w:bCs/>
                <w:sz w:val="24"/>
                <w:szCs w:val="24"/>
                <w:lang w:val="en-US"/>
              </w:rPr>
              <w:t xml:space="preserve">It might be more appropriate to have the Local Authority as main contact for all community and local authority interests due to the close relationship with strategic structures such as Community Planning / Development Groups. Also in terms of housing related enquiries it may be appropriate </w:t>
            </w:r>
            <w:r w:rsidR="006331DB">
              <w:rPr>
                <w:rFonts w:ascii="Avenir Next LT Pro" w:eastAsia="Times New Roman" w:hAnsi="Avenir Next LT Pro" w:cs="Arial"/>
                <w:bCs/>
                <w:sz w:val="24"/>
                <w:szCs w:val="24"/>
                <w:lang w:val="en-US"/>
              </w:rPr>
              <w:t>for</w:t>
            </w:r>
            <w:r w:rsidRPr="00265C62">
              <w:rPr>
                <w:rFonts w:ascii="Avenir Next LT Pro" w:eastAsia="Times New Roman" w:hAnsi="Avenir Next LT Pro" w:cs="Arial"/>
                <w:bCs/>
                <w:sz w:val="24"/>
                <w:szCs w:val="24"/>
                <w:lang w:val="en-US"/>
              </w:rPr>
              <w:t xml:space="preserve"> local authority to be main contact as housing development is routed through the Local Housing Strategy and associated documents such as Strategic Housing Investment Plan</w:t>
            </w:r>
            <w:r>
              <w:rPr>
                <w:rFonts w:ascii="Avenir Next LT Pro" w:eastAsia="Times New Roman" w:hAnsi="Avenir Next LT Pro" w:cs="Arial"/>
                <w:bCs/>
                <w:sz w:val="24"/>
                <w:szCs w:val="24"/>
                <w:lang w:val="en-US"/>
              </w:rPr>
              <w:t xml:space="preserve">. </w:t>
            </w:r>
          </w:p>
          <w:p w14:paraId="40D2EB11" w14:textId="77777777" w:rsidR="00083678" w:rsidRDefault="00083678">
            <w:pPr>
              <w:spacing w:after="255"/>
              <w:contextualSpacing/>
              <w:jc w:val="both"/>
              <w:rPr>
                <w:rFonts w:ascii="Avenir Next LT Pro" w:eastAsia="Times New Roman" w:hAnsi="Avenir Next LT Pro" w:cs="Arial"/>
                <w:b/>
                <w:bCs/>
                <w:sz w:val="24"/>
                <w:szCs w:val="24"/>
                <w:lang w:val="en-US"/>
              </w:rPr>
            </w:pPr>
          </w:p>
        </w:tc>
      </w:tr>
    </w:tbl>
    <w:p w14:paraId="2BFF8F53" w14:textId="77777777" w:rsidR="00083678" w:rsidRDefault="00083678" w:rsidP="00083678">
      <w:pPr>
        <w:contextualSpacing/>
        <w:jc w:val="both"/>
        <w:rPr>
          <w:rFonts w:ascii="Avenir Next LT Pro" w:eastAsia="Times New Roman" w:hAnsi="Avenir Next LT Pro" w:cs="Arial"/>
          <w:b/>
          <w:bCs/>
          <w:sz w:val="24"/>
          <w:szCs w:val="24"/>
          <w:lang w:val="en-US"/>
        </w:rPr>
      </w:pPr>
    </w:p>
    <w:p w14:paraId="062A2445" w14:textId="77777777"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0AC4AC4D" w14:textId="77777777" w:rsidTr="00083678">
        <w:tc>
          <w:tcPr>
            <w:tcW w:w="9016" w:type="dxa"/>
            <w:tcBorders>
              <w:top w:val="single" w:sz="4" w:space="0" w:color="auto"/>
              <w:left w:val="single" w:sz="4" w:space="0" w:color="auto"/>
              <w:bottom w:val="single" w:sz="4" w:space="0" w:color="auto"/>
              <w:right w:val="single" w:sz="4" w:space="0" w:color="auto"/>
            </w:tcBorders>
          </w:tcPr>
          <w:p w14:paraId="19BE18A0" w14:textId="77777777" w:rsidR="00083678" w:rsidRDefault="00083678">
            <w:pPr>
              <w:spacing w:after="255" w:line="254" w:lineRule="auto"/>
              <w:contextualSpacing/>
              <w:jc w:val="both"/>
              <w:rPr>
                <w:rFonts w:ascii="Avenir Next LT Pro" w:hAnsi="Avenir Next LT Pro" w:cs="Arial"/>
                <w:b/>
                <w:bCs/>
                <w:sz w:val="24"/>
                <w:szCs w:val="24"/>
              </w:rPr>
            </w:pPr>
          </w:p>
          <w:p w14:paraId="2CC37663" w14:textId="77777777" w:rsidR="00083678" w:rsidRPr="004F76EC" w:rsidRDefault="004F76EC">
            <w:pPr>
              <w:spacing w:after="255" w:line="254" w:lineRule="auto"/>
              <w:contextualSpacing/>
              <w:jc w:val="both"/>
              <w:rPr>
                <w:rFonts w:ascii="Avenir Next LT Pro" w:hAnsi="Avenir Next LT Pro" w:cs="Arial"/>
                <w:bCs/>
                <w:sz w:val="24"/>
                <w:szCs w:val="24"/>
              </w:rPr>
            </w:pPr>
            <w:r w:rsidRPr="004F76EC">
              <w:rPr>
                <w:rFonts w:ascii="Avenir Next LT Pro" w:hAnsi="Avenir Next LT Pro" w:cs="Arial"/>
                <w:bCs/>
                <w:sz w:val="24"/>
                <w:szCs w:val="24"/>
              </w:rPr>
              <w:t xml:space="preserve">Yes </w:t>
            </w:r>
          </w:p>
          <w:p w14:paraId="61A179A5" w14:textId="77777777" w:rsidR="00083678" w:rsidRDefault="00083678">
            <w:pPr>
              <w:spacing w:after="255" w:line="254" w:lineRule="auto"/>
              <w:contextualSpacing/>
              <w:jc w:val="both"/>
              <w:rPr>
                <w:rFonts w:ascii="Avenir Next LT Pro" w:hAnsi="Avenir Next LT Pro" w:cs="Arial"/>
                <w:b/>
                <w:bCs/>
                <w:sz w:val="24"/>
                <w:szCs w:val="24"/>
              </w:rPr>
            </w:pPr>
          </w:p>
        </w:tc>
      </w:tr>
    </w:tbl>
    <w:p w14:paraId="3612B50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6B7AA15"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Do you think three months for the local authority to decide whether or not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3C7AACFE" w14:textId="77777777" w:rsidTr="00083678">
        <w:tc>
          <w:tcPr>
            <w:tcW w:w="9016" w:type="dxa"/>
            <w:tcBorders>
              <w:top w:val="single" w:sz="4" w:space="0" w:color="auto"/>
              <w:left w:val="single" w:sz="4" w:space="0" w:color="auto"/>
              <w:bottom w:val="single" w:sz="4" w:space="0" w:color="auto"/>
              <w:right w:val="single" w:sz="4" w:space="0" w:color="auto"/>
            </w:tcBorders>
          </w:tcPr>
          <w:p w14:paraId="4F04A79E" w14:textId="77777777" w:rsidR="00083678" w:rsidRPr="004F76EC" w:rsidRDefault="00083678">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009F36E3" w14:textId="77777777" w:rsidR="00083678" w:rsidRPr="004F76EC" w:rsidRDefault="001C76A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No, due to Council committee cycles it is likely that it would not be achievable in that time.  6 months is more reasonable as long as </w:t>
            </w:r>
            <w:r w:rsidR="004F76EC" w:rsidRPr="004F76EC">
              <w:rPr>
                <w:rFonts w:ascii="Avenir Next LT Pro" w:eastAsia="Times New Roman" w:hAnsi="Avenir Next LT Pro" w:cs="Arial"/>
                <w:bCs/>
                <w:sz w:val="24"/>
                <w:szCs w:val="24"/>
                <w:lang w:eastAsia="en-GB"/>
              </w:rPr>
              <w:t>information such as valuation and surveys is provided by KLTR</w:t>
            </w:r>
          </w:p>
          <w:p w14:paraId="770957D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94B56FA"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6A549254" w14:textId="77777777" w:rsidR="00083678"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14:paraId="3B2BFEC0" w14:textId="77777777" w:rsidTr="00083678">
        <w:tc>
          <w:tcPr>
            <w:tcW w:w="9016" w:type="dxa"/>
            <w:tcBorders>
              <w:top w:val="single" w:sz="4" w:space="0" w:color="auto"/>
              <w:left w:val="single" w:sz="4" w:space="0" w:color="auto"/>
              <w:bottom w:val="single" w:sz="4" w:space="0" w:color="auto"/>
              <w:right w:val="single" w:sz="4" w:space="0" w:color="auto"/>
            </w:tcBorders>
          </w:tcPr>
          <w:p w14:paraId="497E94BB" w14:textId="77777777" w:rsidR="00083678" w:rsidRDefault="00083678">
            <w:pPr>
              <w:spacing w:after="255" w:line="254" w:lineRule="auto"/>
              <w:contextualSpacing/>
              <w:jc w:val="both"/>
              <w:rPr>
                <w:rFonts w:ascii="Avenir Next LT Pro" w:eastAsia="Times New Roman" w:hAnsi="Avenir Next LT Pro" w:cs="Arial"/>
                <w:b/>
                <w:bCs/>
                <w:sz w:val="24"/>
                <w:szCs w:val="24"/>
              </w:rPr>
            </w:pPr>
          </w:p>
          <w:p w14:paraId="181C9936" w14:textId="77777777" w:rsidR="00083678" w:rsidRPr="00CB4FC3" w:rsidRDefault="001C76AE">
            <w:pPr>
              <w:spacing w:after="255" w:line="254" w:lineRule="auto"/>
              <w:contextualSpacing/>
              <w:jc w:val="both"/>
              <w:rPr>
                <w:rFonts w:ascii="Avenir Next LT Pro" w:eastAsia="Times New Roman" w:hAnsi="Avenir Next LT Pro" w:cs="Arial"/>
                <w:bCs/>
                <w:sz w:val="24"/>
                <w:szCs w:val="24"/>
              </w:rPr>
            </w:pPr>
            <w:r>
              <w:rPr>
                <w:rFonts w:ascii="Avenir Next LT Pro" w:eastAsia="Times New Roman" w:hAnsi="Avenir Next LT Pro" w:cs="Arial"/>
                <w:bCs/>
                <w:sz w:val="24"/>
                <w:szCs w:val="24"/>
              </w:rPr>
              <w:t>Change the timescale</w:t>
            </w:r>
          </w:p>
          <w:p w14:paraId="1C2E66D7" w14:textId="77777777" w:rsidR="00083678" w:rsidRDefault="00083678">
            <w:pPr>
              <w:spacing w:after="255" w:line="254" w:lineRule="auto"/>
              <w:contextualSpacing/>
              <w:jc w:val="both"/>
              <w:rPr>
                <w:rFonts w:ascii="Avenir Next LT Pro" w:eastAsia="Times New Roman" w:hAnsi="Avenir Next LT Pro" w:cs="Arial"/>
                <w:b/>
                <w:bCs/>
                <w:sz w:val="24"/>
                <w:szCs w:val="24"/>
              </w:rPr>
            </w:pPr>
          </w:p>
        </w:tc>
      </w:tr>
    </w:tbl>
    <w:p w14:paraId="21D8F1E1"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AC40E5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40E84274" w14:textId="77777777" w:rsidTr="00083678">
        <w:tc>
          <w:tcPr>
            <w:tcW w:w="9016" w:type="dxa"/>
            <w:tcBorders>
              <w:top w:val="single" w:sz="4" w:space="0" w:color="auto"/>
              <w:left w:val="single" w:sz="4" w:space="0" w:color="auto"/>
              <w:bottom w:val="single" w:sz="4" w:space="0" w:color="auto"/>
              <w:right w:val="single" w:sz="4" w:space="0" w:color="auto"/>
            </w:tcBorders>
          </w:tcPr>
          <w:p w14:paraId="6E662180" w14:textId="77777777" w:rsidR="00083678" w:rsidRDefault="00083678">
            <w:pPr>
              <w:spacing w:after="255"/>
              <w:contextualSpacing/>
              <w:jc w:val="both"/>
              <w:rPr>
                <w:rFonts w:ascii="Avenir Next LT Pro" w:hAnsi="Avenir Next LT Pro" w:cs="Arial"/>
                <w:b/>
                <w:bCs/>
                <w:sz w:val="24"/>
                <w:szCs w:val="24"/>
              </w:rPr>
            </w:pPr>
          </w:p>
          <w:p w14:paraId="5F2010CD" w14:textId="77777777" w:rsidR="00083678" w:rsidRPr="00CB4FC3" w:rsidRDefault="00CB4FC3">
            <w:pPr>
              <w:spacing w:after="255"/>
              <w:contextualSpacing/>
              <w:jc w:val="both"/>
              <w:rPr>
                <w:rFonts w:ascii="Avenir Next LT Pro" w:hAnsi="Avenir Next LT Pro" w:cs="Arial"/>
                <w:bCs/>
                <w:sz w:val="24"/>
                <w:szCs w:val="24"/>
              </w:rPr>
            </w:pPr>
            <w:r w:rsidRPr="00CB4FC3">
              <w:rPr>
                <w:rFonts w:ascii="Avenir Next LT Pro" w:hAnsi="Avenir Next LT Pro" w:cs="Arial"/>
                <w:bCs/>
                <w:sz w:val="24"/>
                <w:szCs w:val="24"/>
              </w:rPr>
              <w:t>Yes</w:t>
            </w:r>
          </w:p>
          <w:p w14:paraId="6C31787D" w14:textId="77777777" w:rsidR="00083678" w:rsidRDefault="00083678">
            <w:pPr>
              <w:spacing w:after="255"/>
              <w:contextualSpacing/>
              <w:jc w:val="both"/>
              <w:rPr>
                <w:rFonts w:ascii="Avenir Next LT Pro" w:hAnsi="Avenir Next LT Pro" w:cs="Arial"/>
                <w:b/>
                <w:bCs/>
                <w:sz w:val="24"/>
                <w:szCs w:val="24"/>
              </w:rPr>
            </w:pPr>
          </w:p>
        </w:tc>
      </w:tr>
    </w:tbl>
    <w:p w14:paraId="294A3D79" w14:textId="77777777" w:rsidR="00083678" w:rsidRDefault="00083678" w:rsidP="00083678">
      <w:pPr>
        <w:contextualSpacing/>
        <w:jc w:val="both"/>
        <w:rPr>
          <w:rFonts w:ascii="Avenir Next LT Pro" w:hAnsi="Avenir Next LT Pro" w:cs="Arial"/>
          <w:b/>
          <w:bCs/>
          <w:sz w:val="24"/>
          <w:szCs w:val="24"/>
        </w:rPr>
      </w:pPr>
    </w:p>
    <w:p w14:paraId="202522ED"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0D567E85" w14:textId="77777777" w:rsidTr="00083678">
        <w:tc>
          <w:tcPr>
            <w:tcW w:w="9016" w:type="dxa"/>
            <w:tcBorders>
              <w:top w:val="single" w:sz="4" w:space="0" w:color="auto"/>
              <w:left w:val="single" w:sz="4" w:space="0" w:color="auto"/>
              <w:bottom w:val="single" w:sz="4" w:space="0" w:color="auto"/>
              <w:right w:val="single" w:sz="4" w:space="0" w:color="auto"/>
            </w:tcBorders>
          </w:tcPr>
          <w:p w14:paraId="4BB99B04" w14:textId="77777777" w:rsidR="00083678" w:rsidRDefault="00083678">
            <w:pPr>
              <w:spacing w:after="255"/>
              <w:contextualSpacing/>
              <w:jc w:val="both"/>
              <w:rPr>
                <w:rFonts w:ascii="Avenir Next LT Pro" w:hAnsi="Avenir Next LT Pro" w:cs="Arial"/>
                <w:b/>
                <w:bCs/>
                <w:sz w:val="24"/>
                <w:szCs w:val="24"/>
              </w:rPr>
            </w:pPr>
          </w:p>
          <w:p w14:paraId="2A7CB5C8" w14:textId="77777777" w:rsidR="00083678" w:rsidRDefault="00CB4FC3" w:rsidP="00CB4FC3">
            <w:pPr>
              <w:spacing w:after="255"/>
              <w:contextualSpacing/>
              <w:jc w:val="both"/>
              <w:rPr>
                <w:rFonts w:ascii="Avenir Next LT Pro" w:hAnsi="Avenir Next LT Pro" w:cs="Arial"/>
                <w:b/>
                <w:bCs/>
                <w:sz w:val="24"/>
                <w:szCs w:val="24"/>
              </w:rPr>
            </w:pPr>
            <w:r>
              <w:rPr>
                <w:rFonts w:ascii="Avenir Next LT Pro" w:hAnsi="Avenir Next LT Pro" w:cs="Arial"/>
                <w:bCs/>
                <w:sz w:val="24"/>
                <w:szCs w:val="24"/>
              </w:rPr>
              <w:t xml:space="preserve">Yes – case study 4 example (Argyll case) was sold at auction by KLTR, however no action was taken by purchaser and was advertised for sale via auction at higher amount shortly after acquisition and still remains empty. </w:t>
            </w:r>
          </w:p>
        </w:tc>
      </w:tr>
    </w:tbl>
    <w:p w14:paraId="4A406505" w14:textId="77777777" w:rsidR="00083678" w:rsidRDefault="00083678" w:rsidP="00083678">
      <w:pPr>
        <w:contextualSpacing/>
        <w:jc w:val="both"/>
        <w:rPr>
          <w:rFonts w:ascii="Avenir Next LT Pro" w:hAnsi="Avenir Next LT Pro" w:cs="Arial"/>
          <w:b/>
          <w:bCs/>
          <w:sz w:val="24"/>
          <w:szCs w:val="24"/>
        </w:rPr>
      </w:pPr>
    </w:p>
    <w:p w14:paraId="23704D34" w14:textId="77777777" w:rsidR="00083678" w:rsidRDefault="00083678" w:rsidP="00083678">
      <w:pPr>
        <w:contextualSpacing/>
        <w:jc w:val="both"/>
        <w:rPr>
          <w:rFonts w:ascii="Avenir Next LT Pro" w:hAnsi="Avenir Next LT Pro" w:cs="Arial"/>
          <w:b/>
          <w:bCs/>
          <w:sz w:val="24"/>
          <w:szCs w:val="24"/>
        </w:rPr>
      </w:pPr>
    </w:p>
    <w:p w14:paraId="264E9C4F"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30CF4310"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607C57E7" w14:textId="77777777" w:rsidTr="00083678">
        <w:tc>
          <w:tcPr>
            <w:tcW w:w="9016" w:type="dxa"/>
            <w:tcBorders>
              <w:top w:val="single" w:sz="4" w:space="0" w:color="auto"/>
              <w:left w:val="single" w:sz="4" w:space="0" w:color="auto"/>
              <w:bottom w:val="single" w:sz="4" w:space="0" w:color="auto"/>
              <w:right w:val="single" w:sz="4" w:space="0" w:color="auto"/>
            </w:tcBorders>
          </w:tcPr>
          <w:p w14:paraId="1A4C97C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7677467" w14:textId="77777777" w:rsidR="00083678" w:rsidRPr="00672876" w:rsidRDefault="00672876">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672876">
              <w:rPr>
                <w:rFonts w:ascii="Avenir Next LT Pro" w:eastAsia="Times New Roman" w:hAnsi="Avenir Next LT Pro" w:cs="Arial"/>
                <w:bCs/>
                <w:sz w:val="24"/>
                <w:szCs w:val="24"/>
                <w:lang w:eastAsia="en-GB"/>
              </w:rPr>
              <w:t>Transfer to community bodies should only be considered when they are already constituted</w:t>
            </w:r>
            <w:r>
              <w:rPr>
                <w:rFonts w:ascii="Avenir Next LT Pro" w:eastAsia="Times New Roman" w:hAnsi="Avenir Next LT Pro" w:cs="Arial"/>
                <w:bCs/>
                <w:sz w:val="24"/>
                <w:szCs w:val="24"/>
                <w:lang w:eastAsia="en-GB"/>
              </w:rPr>
              <w:t>.  Public authorities could be ‘holding agent’ based on appropriate risk assessments.</w:t>
            </w:r>
          </w:p>
          <w:p w14:paraId="26E9555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D451C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65FD3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3E45075A" w14:textId="77777777" w:rsidTr="00083678">
        <w:tc>
          <w:tcPr>
            <w:tcW w:w="9016" w:type="dxa"/>
            <w:tcBorders>
              <w:top w:val="single" w:sz="4" w:space="0" w:color="auto"/>
              <w:left w:val="single" w:sz="4" w:space="0" w:color="auto"/>
              <w:bottom w:val="single" w:sz="4" w:space="0" w:color="auto"/>
              <w:right w:val="single" w:sz="4" w:space="0" w:color="auto"/>
            </w:tcBorders>
          </w:tcPr>
          <w:p w14:paraId="06AFB0E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D2133F4" w14:textId="77777777" w:rsidR="00083678" w:rsidRPr="00FA1AF7" w:rsidRDefault="00FA1AF7">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FA1AF7">
              <w:rPr>
                <w:rFonts w:ascii="Avenir Next LT Pro" w:eastAsia="Times New Roman" w:hAnsi="Avenir Next LT Pro" w:cs="Arial"/>
                <w:bCs/>
                <w:sz w:val="24"/>
                <w:szCs w:val="24"/>
                <w:lang w:eastAsia="en-GB"/>
              </w:rPr>
              <w:t>Yes – all properties irrespective of condition and value to offer solutions</w:t>
            </w:r>
          </w:p>
          <w:p w14:paraId="1DD2E26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937D1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D6A123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5786E60B" w14:textId="77777777" w:rsidTr="00083678">
        <w:tc>
          <w:tcPr>
            <w:tcW w:w="9016" w:type="dxa"/>
            <w:tcBorders>
              <w:top w:val="single" w:sz="4" w:space="0" w:color="auto"/>
              <w:left w:val="single" w:sz="4" w:space="0" w:color="auto"/>
              <w:bottom w:val="single" w:sz="4" w:space="0" w:color="auto"/>
              <w:right w:val="single" w:sz="4" w:space="0" w:color="auto"/>
            </w:tcBorders>
          </w:tcPr>
          <w:p w14:paraId="194AD80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74E2FA0" w14:textId="77777777" w:rsidR="00083678" w:rsidRPr="005C4DFC" w:rsidRDefault="005C4DF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5C4DFC">
              <w:rPr>
                <w:rFonts w:ascii="Avenir Next LT Pro" w:eastAsia="Times New Roman" w:hAnsi="Avenir Next LT Pro" w:cs="Arial"/>
                <w:bCs/>
                <w:sz w:val="24"/>
                <w:szCs w:val="24"/>
                <w:lang w:eastAsia="en-GB"/>
              </w:rPr>
              <w:t>Yes</w:t>
            </w:r>
          </w:p>
          <w:p w14:paraId="3D85F7F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D3424FC"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047BD475"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54E4FE6A" w14:textId="77777777" w:rsidTr="00083678">
        <w:tc>
          <w:tcPr>
            <w:tcW w:w="9016" w:type="dxa"/>
            <w:tcBorders>
              <w:top w:val="single" w:sz="4" w:space="0" w:color="auto"/>
              <w:left w:val="single" w:sz="4" w:space="0" w:color="auto"/>
              <w:bottom w:val="single" w:sz="4" w:space="0" w:color="auto"/>
              <w:right w:val="single" w:sz="4" w:space="0" w:color="auto"/>
            </w:tcBorders>
          </w:tcPr>
          <w:p w14:paraId="1D923831"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D825F4F" w14:textId="77777777" w:rsidR="00083678" w:rsidRPr="005C4DFC" w:rsidRDefault="005C4DF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p>
          <w:p w14:paraId="5D8F1351"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01093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2CC561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77219316" w14:textId="77777777" w:rsidTr="00083678">
        <w:tc>
          <w:tcPr>
            <w:tcW w:w="9016" w:type="dxa"/>
            <w:tcBorders>
              <w:top w:val="single" w:sz="4" w:space="0" w:color="auto"/>
              <w:left w:val="single" w:sz="4" w:space="0" w:color="auto"/>
              <w:bottom w:val="single" w:sz="4" w:space="0" w:color="auto"/>
              <w:right w:val="single" w:sz="4" w:space="0" w:color="auto"/>
            </w:tcBorders>
          </w:tcPr>
          <w:p w14:paraId="241027D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AD561D0" w14:textId="77777777" w:rsidR="00083678" w:rsidRPr="005C4DFC" w:rsidRDefault="005C4DF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p>
          <w:p w14:paraId="071621F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5E14A01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84E57D0"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0A3DED28" w14:textId="77777777" w:rsidTr="00083678">
        <w:tc>
          <w:tcPr>
            <w:tcW w:w="9016" w:type="dxa"/>
            <w:tcBorders>
              <w:top w:val="single" w:sz="4" w:space="0" w:color="auto"/>
              <w:left w:val="single" w:sz="4" w:space="0" w:color="auto"/>
              <w:bottom w:val="single" w:sz="4" w:space="0" w:color="auto"/>
              <w:right w:val="single" w:sz="4" w:space="0" w:color="auto"/>
            </w:tcBorders>
          </w:tcPr>
          <w:p w14:paraId="508BAF0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9C5E7E0" w14:textId="77777777" w:rsidR="00083678" w:rsidRPr="005C4DFC" w:rsidRDefault="005C4DF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p>
          <w:p w14:paraId="585D316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4BFC0BF"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B520F1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Q13:</w:t>
      </w:r>
      <w:r>
        <w:rPr>
          <w:rFonts w:ascii="Avenir Next LT Pro" w:eastAsia="Times New Roman" w:hAnsi="Avenir Next LT Pro" w:cs="Arial"/>
          <w:b/>
          <w:bCs/>
          <w:sz w:val="24"/>
          <w:szCs w:val="24"/>
          <w:lang w:eastAsia="en-GB"/>
        </w:rPr>
        <w:tab/>
        <w:t>Do you agree that the KLTR should take a high-level approach to sustainable development issues, as above, in order to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5AA28FD3" w14:textId="77777777" w:rsidTr="00083678">
        <w:tc>
          <w:tcPr>
            <w:tcW w:w="9016" w:type="dxa"/>
            <w:tcBorders>
              <w:top w:val="single" w:sz="4" w:space="0" w:color="auto"/>
              <w:left w:val="single" w:sz="4" w:space="0" w:color="auto"/>
              <w:bottom w:val="single" w:sz="4" w:space="0" w:color="auto"/>
              <w:right w:val="single" w:sz="4" w:space="0" w:color="auto"/>
            </w:tcBorders>
          </w:tcPr>
          <w:p w14:paraId="261AC06D" w14:textId="77777777" w:rsidR="00083678" w:rsidRPr="005C4DFC" w:rsidRDefault="005C4DF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p>
          <w:p w14:paraId="6B54D6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0C397C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974660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17ABBE2"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Do you consider there are specific circumstances in which the KLTR should never deal with dissolved company property when a company still remains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258EEC7C" w14:textId="77777777" w:rsidTr="00083678">
        <w:tc>
          <w:tcPr>
            <w:tcW w:w="9016" w:type="dxa"/>
            <w:tcBorders>
              <w:top w:val="single" w:sz="4" w:space="0" w:color="auto"/>
              <w:left w:val="single" w:sz="4" w:space="0" w:color="auto"/>
              <w:bottom w:val="single" w:sz="4" w:space="0" w:color="auto"/>
              <w:right w:val="single" w:sz="4" w:space="0" w:color="auto"/>
            </w:tcBorders>
          </w:tcPr>
          <w:p w14:paraId="0C86C6CA" w14:textId="77777777" w:rsidR="00083678" w:rsidRDefault="00083678">
            <w:pPr>
              <w:spacing w:after="255" w:line="254" w:lineRule="auto"/>
              <w:contextualSpacing/>
              <w:jc w:val="both"/>
              <w:rPr>
                <w:rFonts w:ascii="Avenir Next LT Pro" w:hAnsi="Avenir Next LT Pro" w:cs="Arial"/>
                <w:sz w:val="24"/>
                <w:szCs w:val="24"/>
              </w:rPr>
            </w:pPr>
          </w:p>
          <w:p w14:paraId="2984E643" w14:textId="77777777" w:rsidR="00083678" w:rsidRDefault="007F21CA">
            <w:pPr>
              <w:spacing w:after="255" w:line="254" w:lineRule="auto"/>
              <w:contextualSpacing/>
              <w:jc w:val="both"/>
              <w:rPr>
                <w:rFonts w:ascii="Avenir Next LT Pro" w:hAnsi="Avenir Next LT Pro" w:cs="Arial"/>
                <w:sz w:val="24"/>
                <w:szCs w:val="24"/>
              </w:rPr>
            </w:pPr>
            <w:r>
              <w:rPr>
                <w:rFonts w:ascii="Avenir Next LT Pro" w:hAnsi="Avenir Next LT Pro" w:cs="Arial"/>
                <w:sz w:val="24"/>
                <w:szCs w:val="24"/>
              </w:rPr>
              <w:t>No</w:t>
            </w:r>
          </w:p>
          <w:p w14:paraId="6A8258A0" w14:textId="77777777" w:rsidR="00083678" w:rsidRDefault="00083678">
            <w:pPr>
              <w:spacing w:after="255" w:line="254" w:lineRule="auto"/>
              <w:contextualSpacing/>
              <w:jc w:val="both"/>
              <w:rPr>
                <w:rFonts w:ascii="Avenir Next LT Pro" w:hAnsi="Avenir Next LT Pro" w:cs="Arial"/>
                <w:sz w:val="24"/>
                <w:szCs w:val="24"/>
              </w:rPr>
            </w:pPr>
          </w:p>
        </w:tc>
      </w:tr>
    </w:tbl>
    <w:p w14:paraId="77131C46" w14:textId="77777777" w:rsidR="00083678" w:rsidRDefault="00083678" w:rsidP="00083678">
      <w:pPr>
        <w:contextualSpacing/>
        <w:jc w:val="both"/>
        <w:rPr>
          <w:rFonts w:ascii="Avenir Next LT Pro" w:hAnsi="Avenir Next LT Pro" w:cs="Arial"/>
          <w:b/>
          <w:bCs/>
          <w:sz w:val="24"/>
          <w:szCs w:val="24"/>
        </w:rPr>
      </w:pPr>
    </w:p>
    <w:p w14:paraId="3330915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544AB69A" w14:textId="77777777" w:rsidTr="00083678">
        <w:tc>
          <w:tcPr>
            <w:tcW w:w="9016" w:type="dxa"/>
            <w:tcBorders>
              <w:top w:val="single" w:sz="4" w:space="0" w:color="auto"/>
              <w:left w:val="single" w:sz="4" w:space="0" w:color="auto"/>
              <w:bottom w:val="single" w:sz="4" w:space="0" w:color="auto"/>
              <w:right w:val="single" w:sz="4" w:space="0" w:color="auto"/>
            </w:tcBorders>
          </w:tcPr>
          <w:p w14:paraId="6945277F"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D09325E" w14:textId="77777777" w:rsidR="00083678" w:rsidRPr="007F21CA" w:rsidRDefault="007F21CA">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7F21CA">
              <w:rPr>
                <w:rFonts w:ascii="Avenir Next LT Pro" w:eastAsia="Times New Roman" w:hAnsi="Avenir Next LT Pro" w:cs="Arial"/>
                <w:bCs/>
                <w:sz w:val="24"/>
                <w:szCs w:val="24"/>
                <w:lang w:eastAsia="en-GB"/>
              </w:rPr>
              <w:t>No</w:t>
            </w:r>
          </w:p>
          <w:p w14:paraId="04DE03F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514C21AA"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0B449E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07F334A9" w14:textId="77777777" w:rsidTr="00083678">
        <w:tc>
          <w:tcPr>
            <w:tcW w:w="9016" w:type="dxa"/>
            <w:tcBorders>
              <w:top w:val="single" w:sz="4" w:space="0" w:color="auto"/>
              <w:left w:val="single" w:sz="4" w:space="0" w:color="auto"/>
              <w:bottom w:val="single" w:sz="4" w:space="0" w:color="auto"/>
              <w:right w:val="single" w:sz="4" w:space="0" w:color="auto"/>
            </w:tcBorders>
          </w:tcPr>
          <w:p w14:paraId="4F84FAC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B94F9CF" w14:textId="77777777" w:rsidR="00083678" w:rsidRPr="007F21CA" w:rsidRDefault="007F21CA">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p>
          <w:p w14:paraId="5D40546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837FC2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36D240C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707488D7" w14:textId="77777777" w:rsidTr="00083678">
        <w:tc>
          <w:tcPr>
            <w:tcW w:w="9016" w:type="dxa"/>
            <w:tcBorders>
              <w:top w:val="single" w:sz="4" w:space="0" w:color="auto"/>
              <w:left w:val="single" w:sz="4" w:space="0" w:color="auto"/>
              <w:bottom w:val="single" w:sz="4" w:space="0" w:color="auto"/>
              <w:right w:val="single" w:sz="4" w:space="0" w:color="auto"/>
            </w:tcBorders>
          </w:tcPr>
          <w:p w14:paraId="3B0D25B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26C68CC" w14:textId="77777777" w:rsidR="00083678" w:rsidRPr="007F21CA" w:rsidRDefault="007F21CA">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No</w:t>
            </w:r>
          </w:p>
          <w:p w14:paraId="13FD1DFF"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1B2A2B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D18C44E"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521C6A4C" w14:textId="77777777" w:rsidTr="00083678">
        <w:tc>
          <w:tcPr>
            <w:tcW w:w="9016" w:type="dxa"/>
            <w:tcBorders>
              <w:top w:val="single" w:sz="4" w:space="0" w:color="auto"/>
              <w:left w:val="single" w:sz="4" w:space="0" w:color="auto"/>
              <w:bottom w:val="single" w:sz="4" w:space="0" w:color="auto"/>
              <w:right w:val="single" w:sz="4" w:space="0" w:color="auto"/>
            </w:tcBorders>
          </w:tcPr>
          <w:p w14:paraId="3A2FDA46" w14:textId="77777777" w:rsidR="00083678" w:rsidRDefault="00083678">
            <w:pPr>
              <w:spacing w:after="255"/>
              <w:contextualSpacing/>
              <w:jc w:val="both"/>
              <w:rPr>
                <w:rFonts w:ascii="Avenir Next LT Pro" w:hAnsi="Avenir Next LT Pro" w:cs="Arial"/>
                <w:b/>
                <w:bCs/>
                <w:sz w:val="24"/>
                <w:szCs w:val="24"/>
              </w:rPr>
            </w:pPr>
          </w:p>
          <w:p w14:paraId="58D585AC" w14:textId="77777777" w:rsidR="00083678" w:rsidRPr="007F21CA" w:rsidRDefault="007F21CA">
            <w:pPr>
              <w:spacing w:after="255"/>
              <w:contextualSpacing/>
              <w:jc w:val="both"/>
              <w:rPr>
                <w:rFonts w:ascii="Avenir Next LT Pro" w:hAnsi="Avenir Next LT Pro" w:cs="Arial"/>
                <w:bCs/>
                <w:sz w:val="24"/>
                <w:szCs w:val="24"/>
              </w:rPr>
            </w:pPr>
            <w:r w:rsidRPr="007F21CA">
              <w:rPr>
                <w:rFonts w:ascii="Avenir Next LT Pro" w:hAnsi="Avenir Next LT Pro" w:cs="Arial"/>
                <w:bCs/>
                <w:sz w:val="24"/>
                <w:szCs w:val="24"/>
              </w:rPr>
              <w:t>Yes</w:t>
            </w:r>
          </w:p>
          <w:p w14:paraId="1275F3F3" w14:textId="77777777" w:rsidR="00083678" w:rsidRDefault="00083678">
            <w:pPr>
              <w:spacing w:after="255"/>
              <w:contextualSpacing/>
              <w:jc w:val="both"/>
              <w:rPr>
                <w:rFonts w:ascii="Avenir Next LT Pro" w:hAnsi="Avenir Next LT Pro" w:cs="Arial"/>
                <w:b/>
                <w:bCs/>
                <w:sz w:val="24"/>
                <w:szCs w:val="24"/>
              </w:rPr>
            </w:pPr>
          </w:p>
        </w:tc>
      </w:tr>
    </w:tbl>
    <w:p w14:paraId="2726C838" w14:textId="77777777" w:rsidR="00083678" w:rsidRDefault="00083678" w:rsidP="00083678">
      <w:pPr>
        <w:contextualSpacing/>
        <w:jc w:val="both"/>
        <w:rPr>
          <w:rFonts w:ascii="Avenir Next LT Pro" w:hAnsi="Avenir Next LT Pro" w:cs="Arial"/>
          <w:b/>
          <w:bCs/>
          <w:sz w:val="24"/>
          <w:szCs w:val="24"/>
        </w:rPr>
      </w:pPr>
    </w:p>
    <w:p w14:paraId="15DBC15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7ABA3A85" w14:textId="77777777" w:rsidTr="00083678">
        <w:tc>
          <w:tcPr>
            <w:tcW w:w="9016" w:type="dxa"/>
            <w:tcBorders>
              <w:top w:val="single" w:sz="4" w:space="0" w:color="auto"/>
              <w:left w:val="single" w:sz="4" w:space="0" w:color="auto"/>
              <w:bottom w:val="single" w:sz="4" w:space="0" w:color="auto"/>
              <w:right w:val="single" w:sz="4" w:space="0" w:color="auto"/>
            </w:tcBorders>
          </w:tcPr>
          <w:p w14:paraId="2A942A6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12A7893" w14:textId="77777777" w:rsidR="00083678" w:rsidRPr="00465C8C" w:rsidRDefault="007F21CA" w:rsidP="00465C8C">
            <w:pPr>
              <w:pStyle w:val="Default"/>
              <w:numPr>
                <w:ilvl w:val="0"/>
                <w:numId w:val="1"/>
              </w:numPr>
              <w:rPr>
                <w:sz w:val="23"/>
                <w:szCs w:val="23"/>
              </w:rPr>
            </w:pPr>
            <w:r w:rsidRPr="007F21CA">
              <w:rPr>
                <w:bCs/>
                <w:sz w:val="23"/>
                <w:szCs w:val="23"/>
              </w:rPr>
              <w:t xml:space="preserve">Limiting the scheme to individual properties with a market value of £0.5 million or less </w:t>
            </w:r>
          </w:p>
          <w:p w14:paraId="25604EC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5563FC8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7DC66F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75AC4C2" w14:textId="77777777" w:rsidTr="00083678">
        <w:tc>
          <w:tcPr>
            <w:tcW w:w="9016" w:type="dxa"/>
            <w:tcBorders>
              <w:top w:val="single" w:sz="4" w:space="0" w:color="auto"/>
              <w:left w:val="single" w:sz="4" w:space="0" w:color="auto"/>
              <w:bottom w:val="single" w:sz="4" w:space="0" w:color="auto"/>
              <w:right w:val="single" w:sz="4" w:space="0" w:color="auto"/>
            </w:tcBorders>
          </w:tcPr>
          <w:p w14:paraId="5D67F9D6" w14:textId="77777777" w:rsidR="00083678" w:rsidRPr="00465C8C" w:rsidRDefault="00465C8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465C8C">
              <w:rPr>
                <w:rFonts w:ascii="Avenir Next LT Pro" w:eastAsia="Times New Roman" w:hAnsi="Avenir Next LT Pro" w:cs="Arial"/>
                <w:bCs/>
                <w:sz w:val="24"/>
                <w:szCs w:val="24"/>
                <w:lang w:eastAsia="en-GB"/>
              </w:rPr>
              <w:t>Agree criteria-based policy approach is the best way</w:t>
            </w:r>
          </w:p>
          <w:p w14:paraId="78E85F61"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5A007E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03B43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1C86793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18D83D8C" w14:textId="77777777" w:rsidTr="00083678">
        <w:tc>
          <w:tcPr>
            <w:tcW w:w="9016" w:type="dxa"/>
            <w:tcBorders>
              <w:top w:val="single" w:sz="4" w:space="0" w:color="auto"/>
              <w:left w:val="single" w:sz="4" w:space="0" w:color="auto"/>
              <w:bottom w:val="single" w:sz="4" w:space="0" w:color="auto"/>
              <w:right w:val="single" w:sz="4" w:space="0" w:color="auto"/>
            </w:tcBorders>
          </w:tcPr>
          <w:p w14:paraId="6DE53CD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E5C3311" w14:textId="77777777" w:rsidR="00083678" w:rsidRPr="00465C8C" w:rsidRDefault="00465C8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No</w:t>
            </w:r>
          </w:p>
          <w:p w14:paraId="021FCBC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BDF190"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23E8F9A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4A653728" w14:textId="77777777" w:rsidTr="00083678">
        <w:tc>
          <w:tcPr>
            <w:tcW w:w="9016" w:type="dxa"/>
            <w:tcBorders>
              <w:top w:val="single" w:sz="4" w:space="0" w:color="auto"/>
              <w:left w:val="single" w:sz="4" w:space="0" w:color="auto"/>
              <w:bottom w:val="single" w:sz="4" w:space="0" w:color="auto"/>
              <w:right w:val="single" w:sz="4" w:space="0" w:color="auto"/>
            </w:tcBorders>
          </w:tcPr>
          <w:p w14:paraId="3BBE5B6D"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0C643AF" w14:textId="77777777" w:rsidR="00083678" w:rsidRPr="00465C8C" w:rsidRDefault="00094DED">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Higher development costs and lack of availability of contractors/materials on Islands can have negative impacts on island communities progressing projects.</w:t>
            </w:r>
          </w:p>
          <w:p w14:paraId="211F574F"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801E1FC"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B473BF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Q23. Are you aware of any examples of particular current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2DBD5EB6" w14:textId="77777777" w:rsidTr="00083678">
        <w:tc>
          <w:tcPr>
            <w:tcW w:w="9016" w:type="dxa"/>
            <w:tcBorders>
              <w:top w:val="single" w:sz="4" w:space="0" w:color="auto"/>
              <w:left w:val="single" w:sz="4" w:space="0" w:color="auto"/>
              <w:bottom w:val="single" w:sz="4" w:space="0" w:color="auto"/>
              <w:right w:val="single" w:sz="4" w:space="0" w:color="auto"/>
            </w:tcBorders>
          </w:tcPr>
          <w:p w14:paraId="26D44E2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9C6ABFF" w14:textId="77777777" w:rsidR="00083678" w:rsidRPr="00686C3B" w:rsidRDefault="00686C3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686C3B">
              <w:rPr>
                <w:rFonts w:ascii="Avenir Next LT Pro" w:eastAsia="Times New Roman" w:hAnsi="Avenir Next LT Pro" w:cs="Arial"/>
                <w:bCs/>
                <w:sz w:val="24"/>
                <w:szCs w:val="24"/>
                <w:lang w:eastAsia="en-GB"/>
              </w:rPr>
              <w:t>No</w:t>
            </w:r>
          </w:p>
          <w:p w14:paraId="15C1253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54E73AA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5C18D3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religion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5C0C2DF2" w14:textId="77777777" w:rsidTr="00083678">
        <w:tc>
          <w:tcPr>
            <w:tcW w:w="9016" w:type="dxa"/>
            <w:tcBorders>
              <w:top w:val="single" w:sz="4" w:space="0" w:color="auto"/>
              <w:left w:val="single" w:sz="4" w:space="0" w:color="auto"/>
              <w:bottom w:val="single" w:sz="4" w:space="0" w:color="auto"/>
              <w:right w:val="single" w:sz="4" w:space="0" w:color="auto"/>
            </w:tcBorders>
          </w:tcPr>
          <w:p w14:paraId="2D52E5C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044B2C4" w14:textId="77777777" w:rsidR="00083678" w:rsidRPr="00686C3B" w:rsidRDefault="00686C3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No</w:t>
            </w:r>
          </w:p>
          <w:p w14:paraId="468AF60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5A4B95D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20C0861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766317DA" w14:textId="77777777" w:rsidTr="00083678">
        <w:tc>
          <w:tcPr>
            <w:tcW w:w="9016" w:type="dxa"/>
            <w:tcBorders>
              <w:top w:val="single" w:sz="4" w:space="0" w:color="auto"/>
              <w:left w:val="single" w:sz="4" w:space="0" w:color="auto"/>
              <w:bottom w:val="single" w:sz="4" w:space="0" w:color="auto"/>
              <w:right w:val="single" w:sz="4" w:space="0" w:color="auto"/>
            </w:tcBorders>
          </w:tcPr>
          <w:p w14:paraId="14E5F00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365984" w14:textId="77777777" w:rsidR="00083678" w:rsidRPr="00686C3B" w:rsidRDefault="00686C3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686C3B">
              <w:rPr>
                <w:rFonts w:ascii="Avenir Next LT Pro" w:eastAsia="Times New Roman" w:hAnsi="Avenir Next LT Pro" w:cs="Arial"/>
                <w:bCs/>
                <w:sz w:val="24"/>
                <w:szCs w:val="24"/>
                <w:lang w:eastAsia="en-GB"/>
              </w:rPr>
              <w:lastRenderedPageBreak/>
              <w:t>Positive impact on environment if there is investment in previously neglected buildings/sites</w:t>
            </w:r>
          </w:p>
          <w:p w14:paraId="44150B6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5296F13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3AFCD5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Q26. Are you aware of any examples of how the proposals in this consultation might impact, positively or negatively, on groups or areas at socioeconomic disadvantage (such as income, low wealth or area deprivation)? </w:t>
      </w:r>
    </w:p>
    <w:tbl>
      <w:tblPr>
        <w:tblStyle w:val="TableGrid"/>
        <w:tblW w:w="0" w:type="auto"/>
        <w:tblInd w:w="0" w:type="dxa"/>
        <w:tblLook w:val="04A0" w:firstRow="1" w:lastRow="0" w:firstColumn="1" w:lastColumn="0" w:noHBand="0" w:noVBand="1"/>
      </w:tblPr>
      <w:tblGrid>
        <w:gridCol w:w="9016"/>
      </w:tblGrid>
      <w:tr w:rsidR="00083678" w14:paraId="7227D2E9" w14:textId="77777777" w:rsidTr="00083678">
        <w:tc>
          <w:tcPr>
            <w:tcW w:w="9016" w:type="dxa"/>
            <w:tcBorders>
              <w:top w:val="single" w:sz="4" w:space="0" w:color="auto"/>
              <w:left w:val="single" w:sz="4" w:space="0" w:color="auto"/>
              <w:bottom w:val="single" w:sz="4" w:space="0" w:color="auto"/>
              <w:right w:val="single" w:sz="4" w:space="0" w:color="auto"/>
            </w:tcBorders>
          </w:tcPr>
          <w:p w14:paraId="0A64D1E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8D56235" w14:textId="77777777" w:rsidR="00083678" w:rsidRPr="00686C3B" w:rsidRDefault="00686C3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Various positive impacts including: opportunities for development to support affordable housing, improved outlook/amenity of an area, attracting businesses, generating employment.  </w:t>
            </w:r>
          </w:p>
          <w:p w14:paraId="0D257C8D"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CD31C7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9F904A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Q27. Are you aware of any potentially unacceptable costs and burdens that you think may arise as a result of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32F20BFD" w14:textId="77777777" w:rsidTr="00083678">
        <w:tc>
          <w:tcPr>
            <w:tcW w:w="9016" w:type="dxa"/>
            <w:tcBorders>
              <w:top w:val="single" w:sz="4" w:space="0" w:color="auto"/>
              <w:left w:val="single" w:sz="4" w:space="0" w:color="auto"/>
              <w:bottom w:val="single" w:sz="4" w:space="0" w:color="auto"/>
              <w:right w:val="single" w:sz="4" w:space="0" w:color="auto"/>
            </w:tcBorders>
          </w:tcPr>
          <w:p w14:paraId="7135919A" w14:textId="77777777" w:rsidR="00083678" w:rsidRPr="00686C3B" w:rsidRDefault="00686C3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686C3B">
              <w:rPr>
                <w:rFonts w:ascii="Avenir Next LT Pro" w:eastAsia="Times New Roman" w:hAnsi="Avenir Next LT Pro" w:cs="Arial"/>
                <w:bCs/>
                <w:sz w:val="24"/>
                <w:szCs w:val="24"/>
                <w:lang w:eastAsia="en-GB"/>
              </w:rPr>
              <w:t>No</w:t>
            </w:r>
          </w:p>
          <w:p w14:paraId="2F1FAD9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D536261"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AC2C05B"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C5A158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5AAD4DA3" w14:textId="77777777" w:rsidTr="00083678">
        <w:tc>
          <w:tcPr>
            <w:tcW w:w="9016" w:type="dxa"/>
            <w:tcBorders>
              <w:top w:val="single" w:sz="4" w:space="0" w:color="auto"/>
              <w:left w:val="single" w:sz="4" w:space="0" w:color="auto"/>
              <w:bottom w:val="single" w:sz="4" w:space="0" w:color="auto"/>
              <w:right w:val="single" w:sz="4" w:space="0" w:color="auto"/>
            </w:tcBorders>
          </w:tcPr>
          <w:p w14:paraId="56F9F91F"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ED702F0" w14:textId="77777777" w:rsidR="00083678" w:rsidRPr="00686C3B" w:rsidRDefault="00686C3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686C3B">
              <w:rPr>
                <w:rFonts w:ascii="Avenir Next LT Pro" w:eastAsia="Times New Roman" w:hAnsi="Avenir Next LT Pro" w:cs="Arial"/>
                <w:bCs/>
                <w:sz w:val="24"/>
                <w:szCs w:val="24"/>
                <w:lang w:eastAsia="en-GB"/>
              </w:rPr>
              <w:t>No</w:t>
            </w:r>
          </w:p>
          <w:p w14:paraId="2998818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5885841" w14:textId="77777777" w:rsidR="00083678" w:rsidRDefault="00083678" w:rsidP="00083678"/>
    <w:p w14:paraId="1AAEA0FD"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7"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3862C88D"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40B49D5E"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6C05F850"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C13F4BF"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64A11B93"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13ABCE9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412137D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3267394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3D0CFEEF"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369CDBC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3AA77F83" w14:textId="77777777" w:rsidR="005472F9" w:rsidRDefault="005472F9"/>
    <w:sectPr w:rsidR="005472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BA7E" w14:textId="77777777" w:rsidR="007679B9" w:rsidRDefault="007679B9" w:rsidP="006529A2">
      <w:pPr>
        <w:spacing w:after="0" w:line="240" w:lineRule="auto"/>
      </w:pPr>
      <w:r>
        <w:separator/>
      </w:r>
    </w:p>
  </w:endnote>
  <w:endnote w:type="continuationSeparator" w:id="0">
    <w:p w14:paraId="09142A57" w14:textId="77777777" w:rsidR="007679B9" w:rsidRDefault="007679B9"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6E3C" w14:textId="77777777" w:rsidR="007679B9" w:rsidRDefault="007679B9" w:rsidP="006529A2">
      <w:pPr>
        <w:spacing w:after="0" w:line="240" w:lineRule="auto"/>
      </w:pPr>
      <w:r>
        <w:separator/>
      </w:r>
    </w:p>
  </w:footnote>
  <w:footnote w:type="continuationSeparator" w:id="0">
    <w:p w14:paraId="215B5D98" w14:textId="77777777" w:rsidR="007679B9" w:rsidRDefault="007679B9"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433A" w14:textId="77777777" w:rsidR="006529A2" w:rsidRDefault="006529A2" w:rsidP="006529A2">
    <w:pPr>
      <w:pStyle w:val="Header"/>
      <w:jc w:val="right"/>
    </w:pPr>
    <w:r>
      <w:rPr>
        <w:noProof/>
        <w:lang w:eastAsia="en-GB"/>
      </w:rPr>
      <w:drawing>
        <wp:inline distT="0" distB="0" distL="0" distR="0" wp14:anchorId="39B3F575" wp14:editId="47DC5EC6">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778D"/>
    <w:multiLevelType w:val="hybridMultilevel"/>
    <w:tmpl w:val="AE0A2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484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78"/>
    <w:rsid w:val="00083678"/>
    <w:rsid w:val="00094DED"/>
    <w:rsid w:val="00182C54"/>
    <w:rsid w:val="001C76AE"/>
    <w:rsid w:val="001D3E3D"/>
    <w:rsid w:val="00244F1C"/>
    <w:rsid w:val="00265C62"/>
    <w:rsid w:val="00426FDB"/>
    <w:rsid w:val="00465C8C"/>
    <w:rsid w:val="0048145C"/>
    <w:rsid w:val="004F76EC"/>
    <w:rsid w:val="005472F9"/>
    <w:rsid w:val="005C4DFC"/>
    <w:rsid w:val="006331DB"/>
    <w:rsid w:val="006529A2"/>
    <w:rsid w:val="00661D13"/>
    <w:rsid w:val="00672876"/>
    <w:rsid w:val="0067468D"/>
    <w:rsid w:val="00686C3B"/>
    <w:rsid w:val="007269BD"/>
    <w:rsid w:val="007679B9"/>
    <w:rsid w:val="007F21CA"/>
    <w:rsid w:val="00A61E2A"/>
    <w:rsid w:val="00AD1933"/>
    <w:rsid w:val="00BD0C64"/>
    <w:rsid w:val="00CB4FC3"/>
    <w:rsid w:val="00CE5AAC"/>
    <w:rsid w:val="00FA1AF7"/>
    <w:rsid w:val="00FF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C3BF9B"/>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 w:type="paragraph" w:customStyle="1" w:styleId="Default">
    <w:name w:val="Default"/>
    <w:rsid w:val="007F21CA"/>
    <w:pPr>
      <w:autoSpaceDE w:val="0"/>
      <w:autoSpaceDN w:val="0"/>
      <w:adjustRightInd w:val="0"/>
      <w:spacing w:after="0" w:line="240" w:lineRule="auto"/>
    </w:pPr>
    <w:rPr>
      <w:rFonts w:ascii="Avenir Next LT Pro" w:hAnsi="Avenir Next LT Pro" w:cs="Avenir Next LT Pro"/>
      <w:color w:val="000000"/>
      <w:sz w:val="24"/>
      <w:szCs w:val="24"/>
    </w:rPr>
  </w:style>
  <w:style w:type="character" w:styleId="CommentReference">
    <w:name w:val="annotation reference"/>
    <w:basedOn w:val="DefaultParagraphFont"/>
    <w:uiPriority w:val="99"/>
    <w:semiHidden/>
    <w:unhideWhenUsed/>
    <w:rsid w:val="001C76AE"/>
    <w:rPr>
      <w:sz w:val="16"/>
      <w:szCs w:val="16"/>
    </w:rPr>
  </w:style>
  <w:style w:type="paragraph" w:styleId="CommentText">
    <w:name w:val="annotation text"/>
    <w:basedOn w:val="Normal"/>
    <w:link w:val="CommentTextChar"/>
    <w:uiPriority w:val="99"/>
    <w:semiHidden/>
    <w:unhideWhenUsed/>
    <w:rsid w:val="001C76AE"/>
    <w:pPr>
      <w:spacing w:line="240" w:lineRule="auto"/>
    </w:pPr>
    <w:rPr>
      <w:sz w:val="20"/>
      <w:szCs w:val="20"/>
    </w:rPr>
  </w:style>
  <w:style w:type="character" w:customStyle="1" w:styleId="CommentTextChar">
    <w:name w:val="Comment Text Char"/>
    <w:basedOn w:val="DefaultParagraphFont"/>
    <w:link w:val="CommentText"/>
    <w:uiPriority w:val="99"/>
    <w:semiHidden/>
    <w:rsid w:val="001C76AE"/>
    <w:rPr>
      <w:sz w:val="20"/>
      <w:szCs w:val="20"/>
    </w:rPr>
  </w:style>
  <w:style w:type="paragraph" w:styleId="CommentSubject">
    <w:name w:val="annotation subject"/>
    <w:basedOn w:val="CommentText"/>
    <w:next w:val="CommentText"/>
    <w:link w:val="CommentSubjectChar"/>
    <w:uiPriority w:val="99"/>
    <w:semiHidden/>
    <w:unhideWhenUsed/>
    <w:rsid w:val="001C76AE"/>
    <w:rPr>
      <w:b/>
      <w:bCs/>
    </w:rPr>
  </w:style>
  <w:style w:type="character" w:customStyle="1" w:styleId="CommentSubjectChar">
    <w:name w:val="Comment Subject Char"/>
    <w:basedOn w:val="CommentTextChar"/>
    <w:link w:val="CommentSubject"/>
    <w:uiPriority w:val="99"/>
    <w:semiHidden/>
    <w:rsid w:val="001C76AE"/>
    <w:rPr>
      <w:b/>
      <w:bCs/>
      <w:sz w:val="20"/>
      <w:szCs w:val="20"/>
    </w:rPr>
  </w:style>
  <w:style w:type="paragraph" w:styleId="BalloonText">
    <w:name w:val="Balloon Text"/>
    <w:basedOn w:val="Normal"/>
    <w:link w:val="BalloonTextChar"/>
    <w:uiPriority w:val="99"/>
    <w:semiHidden/>
    <w:unhideWhenUsed/>
    <w:rsid w:val="001C7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KLT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3</cp:revision>
  <dcterms:created xsi:type="dcterms:W3CDTF">2022-12-19T08:10:00Z</dcterms:created>
  <dcterms:modified xsi:type="dcterms:W3CDTF">2023-01-30T14:50:00Z</dcterms:modified>
</cp:coreProperties>
</file>